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Arial Narrow" w:hAnsi="Arial Narrow"/>
          <w:b/>
          <w:sz w:val="28"/>
        </w:rPr>
        <w:t>RP-15</w:t>
      </w:r>
    </w:p>
    <w:p>
      <w:pPr>
        <w:spacing w:after="120"/>
        <w:jc w:val="center"/>
      </w:pPr>
      <w:r>
        <w:rPr>
          <w:rFonts w:ascii="Arial Narrow" w:hAnsi="Arial Narrow"/>
          <w:b/>
          <w:sz w:val="22"/>
        </w:rPr>
        <w:t>Escala de Resolución de Problemas para Educación Superior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Instrucciones: Evalúe cada afirmación indicando en qué medida refleja cómo usted resuelve problemas en su vida académica y cotidiana.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Rara vez es mi caso</w:t>
            </w:r>
          </w:p>
        </w:tc>
        <w:tc>
          <w:tcPr>
            <w:tcW w:type="dxa" w:w="2340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A veces es mi caso</w:t>
            </w:r>
          </w:p>
        </w:tc>
        <w:tc>
          <w:tcPr>
            <w:tcW w:type="dxa" w:w="2340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Frecuentemente es mi caso</w:t>
            </w:r>
          </w:p>
        </w:tc>
        <w:tc>
          <w:tcPr>
            <w:tcW w:type="dxa" w:w="2340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Siempre es mi caso</w:t>
            </w:r>
          </w:p>
        </w:tc>
      </w:tr>
      <w:tr>
        <w:tc>
          <w:tcPr>
            <w:tcW w:type="dxa" w:w="234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234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234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234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N°</w:t>
            </w:r>
          </w:p>
        </w:tc>
        <w:tc>
          <w:tcPr>
            <w:tcW w:type="dxa" w:w="5386"/>
          </w:tcPr>
          <w:p>
            <w:pPr>
              <w:jc w:val="center"/>
            </w:pPr>
            <w:r/>
            <w:r>
              <w:rPr>
                <w:rFonts w:ascii="Arial Narrow" w:hAnsi="Arial Narrow"/>
                <w:b/>
                <w:sz w:val="20"/>
              </w:rPr>
              <w:t>Ítems</w:t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  <w:tc>
          <w:tcPr>
            <w:tcW w:type="dxa" w:w="510"/>
          </w:tcPr>
          <w:p>
            <w:r/>
            <w:r>
              <w:rPr>
                <w:rFonts w:ascii="Arial Narrow" w:hAnsi="Arial Narrow"/>
                <w:b/>
                <w:sz w:val="20"/>
              </w:rPr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Hago una lista de todas las alternativas.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Verifico si la solución resuelve el problema.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Comparo las alternativas seleccionadas.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Establezco metas para entender el problema.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5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Evalúo los resultados obtenidos.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6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Identifico los obstáculos del problema.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7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Propongo ideas antes de decidir.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8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Analizo por qué la solución falló.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9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Creo la mayor cantidad de alternativas.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10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Considero el impacto en otras personas.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11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Considero las consecuencias a corto y largo plazo.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12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Priorizo las alternativas según su impacto.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13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Verifico si las alternativas cumplen los objetivos.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14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Reevalúo la información para asegurar comprensión.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  <w:tr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15</w:t>
            </w:r>
          </w:p>
        </w:tc>
        <w:tc>
          <w:tcPr>
            <w:tcW w:type="dxa" w:w="5386"/>
          </w:tcPr>
          <w:p>
            <w:r/>
            <w:r>
              <w:rPr>
                <w:rFonts w:ascii="Arial Narrow" w:hAnsi="Arial Narrow"/>
                <w:b w:val="0"/>
                <w:sz w:val="20"/>
              </w:rPr>
              <w:t>Evalúo alternativas basándome en experiencias previas.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1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2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3</w:t>
            </w:r>
          </w:p>
        </w:tc>
        <w:tc>
          <w:tcPr>
            <w:tcW w:type="dxa" w:w="510"/>
          </w:tcPr>
          <w:p>
            <w:pPr>
              <w:jc w:val="center"/>
            </w:pPr>
            <w:r/>
            <w:r>
              <w:rPr>
                <w:rFonts w:ascii="Arial Narrow" w:hAnsi="Arial Narrow"/>
                <w:b w:val="0"/>
                <w:sz w:val="20"/>
              </w:rPr>
              <w:t>4</w:t>
            </w:r>
          </w:p>
        </w:tc>
      </w:tr>
    </w:tbl>
    <w:p/>
    <w:p>
      <w:pPr>
        <w:spacing w:after="40"/>
      </w:pPr>
      <w:r>
        <w:rPr>
          <w:rFonts w:ascii="Arial Narrow" w:hAnsi="Arial Narrow"/>
          <w:b/>
          <w:sz w:val="22"/>
        </w:rPr>
        <w:t>Corrección: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La escala posee cuatro factores: Análisis y Planificación de Soluciones (ítems 1 a 4), Evaluación Crítica de Soluciones (ítems 5 a 8), Generación y Evaluación de Alternativas (ítems 9 a 11) y Priorización y Revisión de Alternativas (ítems 12 a 15). Cada factor se obtiene sumando sus ítems. No contiene ítems invertidos.</w:t>
      </w:r>
    </w:p>
    <w:p/>
    <w:p>
      <w:pPr>
        <w:spacing w:after="40"/>
      </w:pPr>
      <w:r>
        <w:rPr>
          <w:rFonts w:ascii="Arial Narrow" w:hAnsi="Arial Narrow"/>
          <w:b/>
          <w:sz w:val="22"/>
        </w:rPr>
        <w:t>Como citar:</w:t>
      </w:r>
    </w:p>
    <w:p>
      <w:pPr>
        <w:spacing w:after="120"/>
        <w:jc w:val="both"/>
      </w:pPr>
      <w:r>
        <w:rPr>
          <w:rFonts w:ascii="Arial Narrow" w:hAnsi="Arial Narrow"/>
          <w:b w:val="0"/>
          <w:sz w:val="22"/>
        </w:rPr>
        <w:t>Ventura-León, J., Lino-Cruz, C., Tocto-Muñoz, S., Sánchez-Villena, A., &amp; Gamboa-Melgar, G. (2025). Problem-solving: development and validation of a short instrument for higher education. Frontiers in Education, 10, 1555167. https://doi.org/10.3389/feduc.2025.1555167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